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33F7D" w14:textId="77777777" w:rsidR="00D67303" w:rsidRPr="004377D1" w:rsidRDefault="00D67303" w:rsidP="00D6730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Метод гармонической линеаризации нелинейных характеристик</w:t>
      </w:r>
    </w:p>
    <w:p w14:paraId="2B675FC0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7D10B36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Метод гармонической линеаризации является приближенным, полученным в результате распространения частотных методов на исследование нелинейных систем [1,3,5,6,7].</w:t>
      </w:r>
    </w:p>
    <w:p w14:paraId="69A7F4E0" w14:textId="77777777" w:rsidR="00D67303" w:rsidRPr="004377D1" w:rsidRDefault="00D67303" w:rsidP="00D6730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 Предложено несколько разновидностей применения гармонической линеаризации (метод гармонического баланса Н. И. Крылова и                        Н. Н Боголюбова, метод Б. В. Булгакова), но все они близки между собой. В основу этих разновидностей положены частотная или гармоническая линеаризация нелинейностей и понятие об эквивалентном коэффициенте усиления нелинейного элемента.</w:t>
      </w:r>
    </w:p>
    <w:p w14:paraId="6B6A228B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Метод гармонической линеаризации позволяет:</w:t>
      </w:r>
    </w:p>
    <w:p w14:paraId="61BC2149" w14:textId="77777777" w:rsidR="00D67303" w:rsidRPr="004377D1" w:rsidRDefault="00D67303" w:rsidP="00D6730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</w:t>
      </w:r>
      <w:r w:rsidRPr="004377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определить условия устойчивости нелинейной системы (найти значения изменяемых параметров, при которых система будет устойчива);</w:t>
      </w:r>
    </w:p>
    <w:p w14:paraId="0955D1DA" w14:textId="77777777" w:rsidR="00D67303" w:rsidRPr="004377D1" w:rsidRDefault="00D67303" w:rsidP="00D6730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</w:t>
      </w:r>
      <w:r w:rsidRPr="004377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определить возможные автоколебания в системе;</w:t>
      </w:r>
    </w:p>
    <w:p w14:paraId="3C6053FD" w14:textId="77777777" w:rsidR="00D67303" w:rsidRPr="004377D1" w:rsidRDefault="00D67303" w:rsidP="00D6730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</w:t>
      </w:r>
      <w:r w:rsidRPr="004377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найти частоту и амплитуду автоколебаний.</w:t>
      </w:r>
    </w:p>
    <w:p w14:paraId="5682E8CD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Применение метода возможно при условии, что характеристики элементов не меняются с течением времени и что выходная величина нелинейного элемента зависит от значений входной величины и не зависит от ее производных и интегралов.</w:t>
      </w:r>
    </w:p>
    <w:p w14:paraId="7729DCC8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Сущность гармонической линеаризации состоит в следующем. Предположим, что имеется нелинейный элемент, в котором зависимость между выходной и входной величинами представляет нелинейную функцию вида  </w:t>
      </w:r>
    </w:p>
    <w:p w14:paraId="1C07DC78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 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"https://libr.aues.kz/facultet/eef/kaf_e_i_apu/30/umm/eiapu_2.files/image053.gif"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28ED62F" wp14:editId="6CBBBBF0">
            <wp:extent cx="1456055" cy="344805"/>
            <wp:effectExtent l="0" t="0" r="0" b="0"/>
            <wp:docPr id="698" name="Рисунок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(1.21)       </w:t>
      </w:r>
    </w:p>
    <w:p w14:paraId="74A1AC26" w14:textId="77777777" w:rsidR="00D67303" w:rsidRPr="004377D1" w:rsidRDefault="00D67303" w:rsidP="00D6730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т.е. выходная величина в общем случае является нелинейной функцией входной величины и ее производной. Подадим на вход нелинейного элемента гармонического воздействие </w:t>
      </w:r>
    </w:p>
    <w:p w14:paraId="795635B9" w14:textId="77777777" w:rsidR="00D67303" w:rsidRPr="004377D1" w:rsidRDefault="00D67303" w:rsidP="00D6730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 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"https://libr.aues.kz/facultet/eef/kaf_e_i_apu/30/umm/eiapu_2.files/image054.gif"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925D18E" wp14:editId="3AE54007">
            <wp:extent cx="1230630" cy="316230"/>
            <wp:effectExtent l="0" t="0" r="0" b="0"/>
            <wp:docPr id="697" name="Рисунок 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(1.22)                         </w:t>
      </w:r>
    </w:p>
    <w:p w14:paraId="7B57E739" w14:textId="77777777" w:rsidR="00D67303" w:rsidRPr="004377D1" w:rsidRDefault="00D67303" w:rsidP="00D6730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тогда                                           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"https://libr.aues.kz/facultet/eef/kaf_e_i_apu/30/umm/eiapu_2.files/image055.gif"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7D627BC" wp14:editId="3DBF0CF2">
            <wp:extent cx="1497965" cy="302260"/>
            <wp:effectExtent l="0" t="0" r="0" b="0"/>
            <wp:docPr id="696" name="Рисунок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                                      (1.23)                                   </w:t>
      </w:r>
    </w:p>
    <w:p w14:paraId="764E80FF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Подставим значения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x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px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из выражений (1.22) и (1.23) в выражение (1.21) и заменив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ωt = ψ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получим              </w:t>
      </w:r>
    </w:p>
    <w:p w14:paraId="3CB7AA40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 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"https://libr.aues.kz/facultet/eef/kaf_e_i_apu/30/umm/eiapu_2.files/image056.gif"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5607BD9" wp14:editId="417C2F2A">
            <wp:extent cx="2412365" cy="330835"/>
            <wp:effectExtent l="0" t="0" r="0" b="0"/>
            <wp:docPr id="695" name="Рисунок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(1.24)                                       </w:t>
      </w:r>
    </w:p>
    <w:p w14:paraId="6D0B3D94" w14:textId="77777777" w:rsidR="00D67303" w:rsidRPr="004377D1" w:rsidRDefault="00D67303" w:rsidP="00D6730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Это сложная периодическая функция, содержащая гармонические составляющие с частотами, увеличивающимися до бесконечности. Разложив правую часть выражения (1.24) в ряд Фурье, получим</w:t>
      </w:r>
    </w:p>
    <w:p w14:paraId="634638EB" w14:textId="77777777" w:rsidR="00D67303" w:rsidRPr="004377D1" w:rsidRDefault="00D67303" w:rsidP="00D67303">
      <w:pPr>
        <w:spacing w:before="100" w:beforeAutospacing="1" w:after="100" w:afterAutospacing="1"/>
        <w:ind w:left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"https://libr.aues.kz/facultet/eef/kaf_e_i_apu/30/umm/eiapu_2.files/image057.gif"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42A3759" wp14:editId="729A2A0B">
            <wp:extent cx="5731510" cy="584200"/>
            <wp:effectExtent l="0" t="0" r="0" b="0"/>
            <wp:docPr id="694" name="Рисунок 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"https://libr.aues.kz/facultet/eef/kaf_e_i_apu/30/umm/eiapu_2.files/image058.gif"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F4BEA99" wp14:editId="3E73BA23">
            <wp:extent cx="4269740" cy="788035"/>
            <wp:effectExtent l="0" t="0" r="0" b="0"/>
            <wp:docPr id="693" name="Рисунок 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высшие гармоники.         (1.25)           </w:t>
      </w:r>
    </w:p>
    <w:p w14:paraId="18028DC7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Первое слагаемое в приведенном разложении представляет собой постоянную составляющую. В наиболее распространенных нелинейностях постоянная составляющая отсутствует, и поэтому в дальнейшем будем считать первое слагаемое равным нулю. Можно провести линеаризацию и в том случае, если постоянная составляющая не равна нулю. Этот вопрос рассмотрен в [1,3,5]. Высшие гармоники разложения отбрасываются, и во внимание принимается только первая (основная) гармоника разложения.  Это вносит погрешность в окончательный результат, однако в практических расчетах она, как правило, допустима, поскольку в реальных системах автоматического регулирования линейная часть является фильтром низких частот, т. е. такой динамической системой, которая пропускает только низкие частоты. Высокие частоты гасятся элементами, содержащими индуктивности, механические массы и т. п., и ими можно пренебречь.</w:t>
      </w:r>
    </w:p>
    <w:p w14:paraId="3505CF2E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Из выражений (1.22) и (1.23) получим </w:t>
      </w:r>
    </w:p>
    <w:p w14:paraId="3AE9E0EB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 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"https://libr.aues.kz/facultet/eef/kaf_e_i_apu/30/umm/eiapu_2.files/image059.gif"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8B8A049" wp14:editId="5DEA0CF9">
            <wp:extent cx="1118235" cy="612140"/>
            <wp:effectExtent l="0" t="0" r="0" b="0"/>
            <wp:docPr id="692" name="Рисунок 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"https://libr.aues.kz/facultet/eef/kaf_e_i_apu/30/umm/eiapu_2.files/image060.gif"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700A16B" wp14:editId="6E3D7476">
            <wp:extent cx="1245235" cy="612140"/>
            <wp:effectExtent l="0" t="0" r="0" b="0"/>
            <wp:docPr id="691" name="Рисунок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(1.26)                              </w:t>
      </w:r>
    </w:p>
    <w:p w14:paraId="39665C9B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Обозначим через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"https://libr.aues.kz/facultet/eef/kaf_e_i_apu/30/umm/eiapu_2.files/image061.gif"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6A9D6F7" wp14:editId="7CA8A48F">
            <wp:extent cx="583565" cy="330835"/>
            <wp:effectExtent l="0" t="0" r="0" b="0"/>
            <wp:docPr id="690" name="Рисунок 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"https://libr.aues.kz/facultet/eef/kaf_e_i_apu/30/umm/eiapu_2.files/image062.gif"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CBDF230" wp14:editId="4E011F89">
            <wp:extent cx="506730" cy="302260"/>
            <wp:effectExtent l="0" t="0" r="0" b="0"/>
            <wp:docPr id="689" name="Рисунок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коэффициенты первой гармоники разложения (1.25), деленные на А будут: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7045"/>
      </w:tblGrid>
      <w:tr w:rsidR="00D67303" w:rsidRPr="004377D1" w14:paraId="187E8E58" w14:textId="77777777" w:rsidTr="00904D77">
        <w:trPr>
          <w:gridAfter w:val="1"/>
          <w:trHeight w:val="160"/>
          <w:tblCellSpacing w:w="0" w:type="dxa"/>
        </w:trPr>
        <w:tc>
          <w:tcPr>
            <w:tcW w:w="2520" w:type="dxa"/>
            <w:vAlign w:val="center"/>
            <w:hideMark/>
          </w:tcPr>
          <w:p w14:paraId="26FB79DB" w14:textId="77777777" w:rsidR="00D67303" w:rsidRPr="004377D1" w:rsidRDefault="00D67303" w:rsidP="00904D77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D67303" w:rsidRPr="004377D1" w14:paraId="1F308CBA" w14:textId="77777777" w:rsidTr="00904D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2779E5" w14:textId="77777777" w:rsidR="00D67303" w:rsidRPr="004377D1" w:rsidRDefault="00D67303" w:rsidP="00904D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7C1B4F" w14:textId="77777777" w:rsidR="00D67303" w:rsidRPr="004377D1" w:rsidRDefault="00D67303" w:rsidP="00904D77">
            <w:pPr>
              <w:rPr>
                <w:rFonts w:ascii="Times" w:eastAsia="Times New Roman" w:hAnsi="Times" w:cs="Times New Roman"/>
                <w:lang w:eastAsia="ru-RU"/>
              </w:rPr>
            </w:pPr>
            <w:r w:rsidRPr="004377D1">
              <w:rPr>
                <w:rFonts w:ascii="Times" w:eastAsia="Times New Roman" w:hAnsi="Times" w:cs="Times New Roman"/>
                <w:sz w:val="27"/>
                <w:szCs w:val="27"/>
                <w:lang w:eastAsia="ru-RU"/>
              </w:rPr>
              <w:fldChar w:fldCharType="begin"/>
            </w:r>
            <w:r w:rsidRPr="004377D1">
              <w:rPr>
                <w:rFonts w:ascii="Times" w:eastAsia="Times New Roman" w:hAnsi="Times" w:cs="Times New Roman"/>
                <w:sz w:val="27"/>
                <w:szCs w:val="27"/>
                <w:lang w:eastAsia="ru-RU"/>
              </w:rPr>
              <w:instrText xml:space="preserve"> INCLUDEPICTURE "https://libr.aues.kz/facultet/eef/kaf_e_i_apu/30/umm/eiapu_2.files/image063.gif" \* MERGEFORMATINET </w:instrText>
            </w:r>
            <w:r w:rsidRPr="004377D1">
              <w:rPr>
                <w:rFonts w:ascii="Times" w:eastAsia="Times New Roman" w:hAnsi="Times" w:cs="Times New Roman"/>
                <w:sz w:val="27"/>
                <w:szCs w:val="27"/>
                <w:lang w:eastAsia="ru-RU"/>
              </w:rPr>
              <w:fldChar w:fldCharType="separate"/>
            </w:r>
            <w:r w:rsidRPr="004377D1">
              <w:rPr>
                <w:rFonts w:ascii="Times" w:eastAsia="Times New Roman" w:hAnsi="Times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1C23AD9A" wp14:editId="1FC7B6D4">
                  <wp:extent cx="4473575" cy="1533525"/>
                  <wp:effectExtent l="0" t="0" r="0" b="0"/>
                  <wp:docPr id="688" name="Рисунок 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357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7D1">
              <w:rPr>
                <w:rFonts w:ascii="Times" w:eastAsia="Times New Roman" w:hAnsi="Times" w:cs="Times New Roman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14:paraId="24938C0C" w14:textId="77777777" w:rsidR="00D67303" w:rsidRPr="004377D1" w:rsidRDefault="00D67303" w:rsidP="00D67303">
      <w:pPr>
        <w:rPr>
          <w:rFonts w:ascii="Times New Roman" w:eastAsia="Times New Roman" w:hAnsi="Times New Roman" w:cs="Times New Roman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4B705EFB" w14:textId="77777777" w:rsidR="00D67303" w:rsidRPr="004377D1" w:rsidRDefault="00D67303" w:rsidP="00D67303">
      <w:pPr>
        <w:rPr>
          <w:rFonts w:ascii="Times New Roman" w:eastAsia="Times New Roman" w:hAnsi="Times New Roman" w:cs="Times New Roman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0F8ACFC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(1.27)</w:t>
      </w:r>
    </w:p>
    <w:p w14:paraId="4F11054E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  </w:t>
      </w:r>
    </w:p>
    <w:p w14:paraId="5B055F4B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Учитывая сказанное выше и применяя обозначения (1.26) и (1.27), выражение (1.25) может быть переписано в виде </w:t>
      </w:r>
    </w:p>
    <w:p w14:paraId="7825B7E7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"https://libr.aues.kz/facultet/eef/kaf_e_i_apu/30/umm/eiapu_2.files/image064.gif"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BBD9A3D" wp14:editId="43D2EAFB">
            <wp:extent cx="2173605" cy="626110"/>
            <wp:effectExtent l="0" t="0" r="0" b="0"/>
            <wp:docPr id="687" name="Рисунок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(1.28)                  </w:t>
      </w:r>
    </w:p>
    <w:p w14:paraId="5A0D1C31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Выражение (1.28) является линейным. Таким образом, гармоническая линеаризация заключается в том, что нелинейная функция вида (1.21) с точностью до высших гармоник заменяется линейной функцией вида (1.28).</w:t>
      </w:r>
    </w:p>
    <w:p w14:paraId="43FF66A2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Выражение </w:t>
      </w:r>
    </w:p>
    <w:p w14:paraId="38111EBB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 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"https://libr.aues.kz/facultet/eef/kaf_e_i_apu/30/umm/eiapu_2.files/image065.gif"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D8D6A57" wp14:editId="05354634">
            <wp:extent cx="2313940" cy="598170"/>
            <wp:effectExtent l="0" t="0" r="0" b="0"/>
            <wp:docPr id="686" name="Рисунок 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(1.29)                                </w:t>
      </w:r>
    </w:p>
    <w:p w14:paraId="03D4C986" w14:textId="77777777" w:rsidR="00D67303" w:rsidRPr="004377D1" w:rsidRDefault="00D67303" w:rsidP="00D6730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 аналогии с коэффициентом при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x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  частотном анализе линейных систем называется приближенной передаточной функцией нелинейного элемента.</w:t>
      </w:r>
    </w:p>
    <w:p w14:paraId="1543C823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в выражении (1.29) заменить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"https://libr.aues.kz/facultet/eef/kaf_e_i_apu/30/umm/eiapu_2.files/image066.gif"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7D2EE03" wp14:editId="2201E0FA">
            <wp:extent cx="203835" cy="217805"/>
            <wp:effectExtent l="0" t="0" r="0" b="0"/>
            <wp:docPr id="685" name="Рисунок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"https://libr.aues.kz/facultet/eef/kaf_e_i_apu/30/umm/eiapu_2.files/image067.gif"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D20A246" wp14:editId="27FE2DE6">
            <wp:extent cx="330835" cy="302260"/>
            <wp:effectExtent l="0" t="0" r="0" b="0"/>
            <wp:docPr id="684" name="Рисунок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"https://libr.aues.kz/facultet/eef/kaf_e_i_apu/30/umm/eiapu_2.files/image068.gif"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D339B8E" wp14:editId="1FE38FF9">
            <wp:extent cx="1090295" cy="281305"/>
            <wp:effectExtent l="0" t="0" r="0" b="0"/>
            <wp:docPr id="683" name="Рисунок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 получим приближенное значение эквивалентного комплексного коэффициента усиления нелинейного элемента                                       </w:t>
      </w:r>
    </w:p>
    <w:p w14:paraId="6461B1DE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          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"https://libr.aues.kz/facultet/eef/kaf_e_i_apu/30/umm/eiapu_2.files/image069.gif"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81700D2" wp14:editId="25876F6D">
            <wp:extent cx="2068195" cy="330835"/>
            <wp:effectExtent l="0" t="0" r="0" b="0"/>
            <wp:docPr id="682" name="Рисунок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(1.30)                             </w:t>
      </w:r>
    </w:p>
    <w:p w14:paraId="12F1729C" w14:textId="77777777" w:rsidR="00D67303" w:rsidRPr="004377D1" w:rsidRDefault="00D67303" w:rsidP="00D6730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или в показательной форме    </w:t>
      </w:r>
    </w:p>
    <w:p w14:paraId="53C67FCC" w14:textId="77777777" w:rsidR="00D67303" w:rsidRPr="004377D1" w:rsidRDefault="00D67303" w:rsidP="00D6730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      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"https://libr.aues.kz/facultet/eef/kaf_e_i_apu/30/umm/eiapu_2.files/image070.gif"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7CA7B3E" wp14:editId="0DE6E0C7">
            <wp:extent cx="2004695" cy="379730"/>
            <wp:effectExtent l="0" t="0" r="0" b="0"/>
            <wp:docPr id="681" name="Рисунок 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(1.31) </w:t>
      </w:r>
    </w:p>
    <w:p w14:paraId="012186A3" w14:textId="77777777" w:rsidR="00D67303" w:rsidRPr="004377D1" w:rsidRDefault="00D67303" w:rsidP="00D6730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Здесь</w:t>
      </w:r>
    </w:p>
    <w:p w14:paraId="7E36C04D" w14:textId="77777777" w:rsidR="00D67303" w:rsidRPr="004377D1" w:rsidRDefault="00D67303" w:rsidP="00D6730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 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"https://libr.aues.kz/facultet/eef/kaf_e_i_apu/30/umm/eiapu_2.files/image071.gif"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D49F14E" wp14:editId="48BB3452">
            <wp:extent cx="2313940" cy="429260"/>
            <wp:effectExtent l="0" t="0" r="0" b="0"/>
            <wp:docPr id="680" name="Рисунок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(1.32)                         </w:t>
      </w:r>
    </w:p>
    <w:p w14:paraId="157C46CF" w14:textId="77777777" w:rsidR="00D67303" w:rsidRPr="004377D1" w:rsidRDefault="00D67303" w:rsidP="00D6730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модуль эквивалентного комплексного коэффициента усиления, а его аргумент </w:t>
      </w:r>
    </w:p>
    <w:p w14:paraId="5BB52360" w14:textId="77777777" w:rsidR="00D67303" w:rsidRPr="004377D1" w:rsidRDefault="00D67303" w:rsidP="00D6730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 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"https://libr.aues.kz/facultet/eef/kaf_e_i_apu/30/umm/eiapu_2.files/image072.gif"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0D318B6" wp14:editId="4D67DFAC">
            <wp:extent cx="2743200" cy="675005"/>
            <wp:effectExtent l="0" t="0" r="0" b="0"/>
            <wp:docPr id="679" name="Рисунок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(1.33)                      </w:t>
      </w:r>
    </w:p>
    <w:p w14:paraId="4F1B1236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Таким образом, эквивалентным комплексным коэффициентом усиления нелинейного элемента называется комплексное число, модуль которого представляет отношение амплитуды первой гармоники на выходе нелинейного элемента к амплитуде синусоидального воздействия на его входа, а аргумент – разность фаз первой гармоники на выходе и синусоидального воздействия на входе. При изменении амплитуда и частота синусоидального воздействия на входе значение эквивалентного комплексного коэффициента усиления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"https://libr.aues.kz/facultet/eef/kaf_e_i_apu/30/umm/eiapu_2.files/image073.gif"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4FCB65B" wp14:editId="0DEC97FB">
            <wp:extent cx="506730" cy="302260"/>
            <wp:effectExtent l="0" t="0" r="0" b="0"/>
            <wp:docPr id="678" name="Рисунок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меняется.</w:t>
      </w:r>
    </w:p>
    <w:p w14:paraId="5C967084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настоящее время коэффициенты разложения в ряд Фурье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g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A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b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A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для значительного количества нелинейностей вычислены, что облегчает применение метода гармонической линеаризации. На рисунке 1.7 приведены нелинейные характеристики, для которых коэффициенты разложения имеют следующий вид:</w:t>
      </w:r>
    </w:p>
    <w:p w14:paraId="12675C0F" w14:textId="77777777" w:rsidR="00D67303" w:rsidRPr="004377D1" w:rsidRDefault="00D67303" w:rsidP="00D6730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– для характеристики на рисунке 1.7,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</w:t>
      </w:r>
    </w:p>
    <w:p w14:paraId="224378B4" w14:textId="77777777" w:rsidR="00D67303" w:rsidRPr="004377D1" w:rsidRDefault="00D67303" w:rsidP="00D6730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"https://libr.aues.kz/facultet/eef/kaf_e_i_apu/30/umm/eiapu_2.files/image074.gif"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88F2045" wp14:editId="35D5D7BA">
            <wp:extent cx="1216660" cy="612140"/>
            <wp:effectExtent l="0" t="0" r="0" b="0"/>
            <wp:docPr id="677" name="Рисунок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"https://libr.aues.kz/facultet/eef/kaf_e_i_apu/30/umm/eiapu_2.files/image075.gif"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7C1BA2F" wp14:editId="0E107F15">
            <wp:extent cx="963930" cy="302260"/>
            <wp:effectExtent l="0" t="0" r="0" b="0"/>
            <wp:docPr id="676" name="Рисунок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117A4F49" w14:textId="77777777" w:rsidR="00D67303" w:rsidRPr="004377D1" w:rsidRDefault="00D67303" w:rsidP="00D6730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– для характеристики на рисунке 1.7,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</w:t>
      </w:r>
    </w:p>
    <w:p w14:paraId="1C405859" w14:textId="77777777" w:rsidR="00D67303" w:rsidRPr="004377D1" w:rsidRDefault="00D67303" w:rsidP="00D6730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"https://libr.aues.kz/facultet/eef/kaf_e_i_apu/30/umm/eiapu_2.files/image076.gif"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9E81296" wp14:editId="471DC2AF">
            <wp:extent cx="2539365" cy="773430"/>
            <wp:effectExtent l="0" t="0" r="0" b="0"/>
            <wp:docPr id="675" name="Рисунок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"https://libr.aues.kz/facultet/eef/kaf_e_i_apu/30/umm/eiapu_2.files/image077.gif"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BC28445" wp14:editId="50593CF5">
            <wp:extent cx="1765300" cy="407670"/>
            <wp:effectExtent l="0" t="0" r="0" b="0"/>
            <wp:docPr id="674" name="Рисунок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B8A03FA" w14:textId="77777777" w:rsidR="00D67303" w:rsidRPr="004377D1" w:rsidRDefault="00D67303" w:rsidP="00D6730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– для характеристики на рисунке 1.7,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8C7901F" w14:textId="77777777" w:rsidR="00D67303" w:rsidRPr="004377D1" w:rsidRDefault="00D67303" w:rsidP="00D6730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"https://libr.aues.kz/facultet/eef/kaf_e_i_apu/30/umm/eiapu_2.files/image078.gif"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A846071" wp14:editId="137495F0">
            <wp:extent cx="3566160" cy="872490"/>
            <wp:effectExtent l="0" t="0" r="0" b="0"/>
            <wp:docPr id="673" name="Рисунок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"https://libr.aues.kz/facultet/eef/kaf_e_i_apu/30/umm/eiapu_2.files/image079.gif"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AA8C537" wp14:editId="37A2D58D">
            <wp:extent cx="1955165" cy="569595"/>
            <wp:effectExtent l="0" t="0" r="635" b="0"/>
            <wp:docPr id="672" name="Рисунок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;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"https://libr.aues.kz/facultet/eef/kaf_e_i_apu/30/umm/eiapu_2.files/image080.gif"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CE764C0" wp14:editId="5411147B">
            <wp:extent cx="689610" cy="288290"/>
            <wp:effectExtent l="0" t="0" r="0" b="0"/>
            <wp:docPr id="671" name="Рисунок 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; </w:t>
      </w:r>
    </w:p>
    <w:p w14:paraId="0AF0CA4F" w14:textId="77777777" w:rsidR="00D67303" w:rsidRPr="004377D1" w:rsidRDefault="00D67303" w:rsidP="00D6730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– для характеристики на рисунке 1.7,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г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28DF265" w14:textId="77777777" w:rsidR="00D67303" w:rsidRPr="004377D1" w:rsidRDefault="00D67303" w:rsidP="00D6730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"https://libr.aues.kz/facultet/eef/kaf_e_i_apu/30/umm/eiapu_2.files/image081.gif"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E4BA0E8" wp14:editId="26689F2D">
            <wp:extent cx="2131060" cy="633095"/>
            <wp:effectExtent l="0" t="0" r="2540" b="0"/>
            <wp:docPr id="670" name="Рисунок 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"https://libr.aues.kz/facultet/eef/kaf_e_i_apu/30/umm/eiapu_2.files/image082.gif"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6AF5259" wp14:editId="5EF6E15E">
            <wp:extent cx="1435100" cy="626110"/>
            <wp:effectExtent l="0" t="0" r="0" b="0"/>
            <wp:docPr id="669" name="Рисунок 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"https://libr.aues.kz/facultet/eef/kaf_e_i_apu/30/umm/eiapu_2.files/image083.gif"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030C677" wp14:editId="2A3A8B9D">
            <wp:extent cx="696595" cy="288290"/>
            <wp:effectExtent l="0" t="0" r="0" b="0"/>
            <wp:docPr id="668" name="Рисунок 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A98E149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Буквенные обозначения, приведенные в формулах, ясны из рисунка 1.7.</w:t>
      </w:r>
    </w:p>
    <w:p w14:paraId="46078A21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A4B014F" w14:textId="77777777" w:rsidR="00D67303" w:rsidRPr="004377D1" w:rsidRDefault="00D67303" w:rsidP="00D6730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"https://libr.aues.kz/facultet/eef/kaf_e_i_apu/30/umm/eiapu_2.files/image084.jpg"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30ACB59" wp14:editId="7027C97B">
            <wp:extent cx="5731510" cy="5779770"/>
            <wp:effectExtent l="0" t="0" r="0" b="0"/>
            <wp:docPr id="667" name="Рисунок 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7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1A7E0E11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Рисунок 1.7 - К определению коэффициентов гармонической линеаризации нелинейных элементов</w:t>
      </w:r>
    </w:p>
    <w:p w14:paraId="70EE57E6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Ограничение справедливости формул условием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"https://libr.aues.kz/facultet/eef/kaf_e_i_apu/30/umm/eiapu_2.files/image085.gif"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1695DB5" wp14:editId="023CC37F">
            <wp:extent cx="626110" cy="281305"/>
            <wp:effectExtent l="0" t="0" r="0" b="0"/>
            <wp:docPr id="666" name="Рисунок 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имеет тот смысл, что если амплитуда А входной синусоиды будет меньше половины зоны нечувствительности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 нелинейный элемент не сработает и движение в системе будет отсутствовать. Поэтому все расчеты начинаются с предельного значения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"https://libr.aues.kz/facultet/eef/kaf_e_i_apu/30/umm/eiapu_2.files/image086.gif"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0249156" wp14:editId="45E884E8">
            <wp:extent cx="626110" cy="288290"/>
            <wp:effectExtent l="0" t="0" r="0" b="0"/>
            <wp:docPr id="665" name="Рисунок 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Обращаем внимание на то, что если нелинейная характеристика однозначна, не имеет гистерезиса, то коэффициент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"https://libr.aues.kz/facultet/eef/kaf_e_i_apu/30/umm/eiapu_2.files/image087.gif"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43FA202" wp14:editId="1836E585">
            <wp:extent cx="914400" cy="316230"/>
            <wp:effectExtent l="0" t="0" r="0" b="0"/>
            <wp:docPr id="664" name="Рисунок 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"https://libr.aues.kz/facultet/eef/kaf_e_i_apu/30/umm/eiapu_2.files/image088.gif"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D0FDB0A" wp14:editId="3452B931">
            <wp:extent cx="154940" cy="288290"/>
            <wp:effectExtent l="0" t="0" r="0" b="0"/>
            <wp:docPr id="663" name="Рисунок 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эквивалентный комплексный коэффициент усиления, вычисленный по формуле (1.30), будет числом вещественным.</w:t>
      </w:r>
    </w:p>
    <w:p w14:paraId="02AEF577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Рассмотрим систему автоматического  регулирования, состоящую из нескольких линейных звеньев и одного нелинейного. Все линейные звенья могут быть объединены в один эквивалентный линейный элемент, и тогда структурная схема примет вид, изображенный на рисунке 1.8.</w:t>
      </w:r>
    </w:p>
    <w:p w14:paraId="0D0B80B8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0D55C5F3" w14:textId="77777777" w:rsidR="00D67303" w:rsidRPr="004377D1" w:rsidRDefault="00D67303" w:rsidP="00D6730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"https://libr.aues.kz/facultet/eef/kaf_e_i_apu/30/umm/eiapu_2.files/image089.jpg"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4976D3B" wp14:editId="204667DF">
            <wp:extent cx="3369310" cy="1449070"/>
            <wp:effectExtent l="0" t="0" r="0" b="0"/>
            <wp:docPr id="662" name="Рисунок 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1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2E97C11A" w14:textId="77777777" w:rsidR="00D67303" w:rsidRPr="004377D1" w:rsidRDefault="00D67303" w:rsidP="00D6730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Рисунок 1.8 - Структурная схема системы с нелинейным элементом</w:t>
      </w:r>
    </w:p>
    <w:p w14:paraId="0ED7D81F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Рассмотрим нелинейный элемент. Предположим, что на его вход подано синусоидальное воздействие                                          </w:t>
      </w:r>
    </w:p>
    <w:p w14:paraId="098AC966" w14:textId="77777777" w:rsidR="00D67303" w:rsidRPr="004377D1" w:rsidRDefault="00D67303" w:rsidP="00D67303">
      <w:pPr>
        <w:spacing w:before="100" w:beforeAutospacing="1" w:after="100" w:afterAutospacing="1"/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"https://libr.aues.kz/facultet/eef/kaf_e_i_apu/30/umm/eiapu_2.files/image090.gif"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80B9E05" wp14:editId="00B9EEA7">
            <wp:extent cx="1259205" cy="344805"/>
            <wp:effectExtent l="0" t="0" r="0" b="0"/>
            <wp:docPr id="661" name="Рисунок 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2C5D0102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Тогда, пользуясь гармонической линеаризацией, находим эквивалентный коэффициент усиления и с точностью до высших гармоник можем определить выходную величину: </w:t>
      </w:r>
    </w:p>
    <w:p w14:paraId="06FC70FD" w14:textId="77777777" w:rsidR="00D67303" w:rsidRPr="004377D1" w:rsidRDefault="00D67303" w:rsidP="00D6730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     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"https://libr.aues.kz/facultet/eef/kaf_e_i_apu/30/umm/eiapu_2.files/image091.gif"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8051F0F" wp14:editId="77856A99">
            <wp:extent cx="1287145" cy="358775"/>
            <wp:effectExtent l="0" t="0" r="0" b="0"/>
            <wp:docPr id="660" name="Рисунок 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(1.34)                                     </w:t>
      </w:r>
    </w:p>
    <w:p w14:paraId="1D87436C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Рассмотрим линейную часть. Обозначив ее передаточную функцию через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W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p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получим уравнение в оперативной форме: </w:t>
      </w:r>
    </w:p>
    <w:p w14:paraId="693251D6" w14:textId="77777777" w:rsidR="00D67303" w:rsidRPr="004377D1" w:rsidRDefault="00D67303" w:rsidP="00D6730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 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"https://libr.aues.kz/facultet/eef/kaf_e_i_apu/30/umm/eiapu_2.files/image092.gif"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4576764" wp14:editId="38265240">
            <wp:extent cx="1357630" cy="407670"/>
            <wp:effectExtent l="0" t="0" r="1270" b="0"/>
            <wp:docPr id="659" name="Рисунок 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(1.35)                                     </w:t>
      </w:r>
    </w:p>
    <w:p w14:paraId="4A7A6325" w14:textId="77777777" w:rsidR="00D67303" w:rsidRPr="004377D1" w:rsidRDefault="00D67303" w:rsidP="00D6730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частном случае, когда величина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x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является гармонической функцией с неизменными амплитудой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 частотой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ω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она может быть представлена в показательной форме  </w:t>
      </w:r>
    </w:p>
    <w:p w14:paraId="543A6B91" w14:textId="77777777" w:rsidR="00D67303" w:rsidRPr="004377D1" w:rsidRDefault="00D67303" w:rsidP="00D6730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 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"https://libr.aues.kz/facultet/eef/kaf_e_i_apu/30/umm/eiapu_2.files/image093.gif"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12E42CF" wp14:editId="56C5C5B5">
            <wp:extent cx="1146810" cy="379730"/>
            <wp:effectExtent l="0" t="0" r="0" b="0"/>
            <wp:docPr id="658" name="Рисунок 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(1.36)</w:t>
      </w:r>
    </w:p>
    <w:p w14:paraId="603D6D72" w14:textId="77777777" w:rsidR="00D67303" w:rsidRPr="004377D1" w:rsidRDefault="00D67303" w:rsidP="00D6730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Установившееся значение на выходе линейного элемента при этом будет равно </w:t>
      </w:r>
    </w:p>
    <w:p w14:paraId="2F9C8B1A" w14:textId="77777777" w:rsidR="00D67303" w:rsidRPr="004377D1" w:rsidRDefault="00D67303" w:rsidP="00D6730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"https://libr.aues.kz/facultet/eef/kaf_e_i_apu/30/umm/eiapu_2.files/image094.gif"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C3E87AB" wp14:editId="05E79FF0">
            <wp:extent cx="2018665" cy="365760"/>
            <wp:effectExtent l="0" t="0" r="0" b="0"/>
            <wp:docPr id="657" name="Рисунок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(1.37)                                </w:t>
      </w:r>
    </w:p>
    <w:p w14:paraId="2391325F" w14:textId="77777777" w:rsidR="00D67303" w:rsidRPr="004377D1" w:rsidRDefault="00D67303" w:rsidP="00D6730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Здесь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"https://libr.aues.kz/facultet/eef/kaf_e_i_apu/30/umm/eiapu_2.files/image095.gif"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1EF748F" wp14:editId="7A575887">
            <wp:extent cx="759460" cy="316230"/>
            <wp:effectExtent l="0" t="0" r="0" b="0"/>
            <wp:docPr id="656" name="Рисунок 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называется комплексным коэффициентом усиления части,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получающимся из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p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если вместо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"https://libr.aues.kz/facultet/eef/kaf_e_i_apu/30/umm/eiapu_2.files/image096.gif"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3EC374C" wp14:editId="181202A7">
            <wp:extent cx="253365" cy="281305"/>
            <wp:effectExtent l="0" t="0" r="0" b="0"/>
            <wp:docPr id="655" name="Рисунок 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подставить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"https://libr.aues.kz/facultet/eef/kaf_e_i_apu/30/umm/eiapu_2.files/image097.gif"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5FC824F" wp14:editId="431FC8AC">
            <wp:extent cx="393700" cy="302260"/>
            <wp:effectExtent l="0" t="0" r="0" b="0"/>
            <wp:docPr id="654" name="Рисунок 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14463CC2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соответствии с уравнением (1.37) на выходе линейной части получаются также гармонические колебания, отличающиеся от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"https://libr.aues.kz/facultet/eef/kaf_e_i_apu/30/umm/eiapu_2.files/image098.gif"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5623C43" wp14:editId="14AE9EA6">
            <wp:extent cx="253365" cy="365760"/>
            <wp:effectExtent l="0" t="0" r="0" b="0"/>
            <wp:docPr id="653" name="Рисунок 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 амплитуде и фазе, причем это отличие полностью определяется комплексным коэффициентом усиления </w:t>
      </w:r>
    </w:p>
    <w:p w14:paraId="65959493" w14:textId="77777777" w:rsidR="00D67303" w:rsidRPr="004377D1" w:rsidRDefault="00D67303" w:rsidP="00D6730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"https://libr.aues.kz/facultet/eef/kaf_e_i_apu/30/umm/eiapu_2.files/image099.gif"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A0904A6" wp14:editId="17040C94">
            <wp:extent cx="2194560" cy="393700"/>
            <wp:effectExtent l="0" t="0" r="0" b="0"/>
            <wp:docPr id="652" name="Рисунок 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</w:t>
      </w:r>
    </w:p>
    <w:p w14:paraId="3671AAC9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Модуль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"https://libr.aues.kz/facultet/eef/kaf_e_i_apu/30/umm/eiapu_2.files/image100.gif"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1634D0E" wp14:editId="298FC9E9">
            <wp:extent cx="808990" cy="407670"/>
            <wp:effectExtent l="0" t="0" r="0" b="0"/>
            <wp:docPr id="651" name="Рисунок 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представляет собой отношение выходной амплитуды к входной, аргумент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"https://libr.aues.kz/facultet/eef/kaf_e_i_apu/30/umm/eiapu_2.files/image101.gif"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C41AF7D" wp14:editId="4EF5F898">
            <wp:extent cx="612140" cy="316230"/>
            <wp:effectExtent l="0" t="0" r="0" b="0"/>
            <wp:docPr id="650" name="Рисунок 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разность фаз выходной и входной синусоид. Для линейной части комплексный коэффициент изменяется при изменении частоты, но не зависит от амплитуды входного сигнала.</w:t>
      </w:r>
    </w:p>
    <w:p w14:paraId="41B1C3A0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Рассмотрим теперь систему в целом. Предположим, что система находится на грани устойчивости, и в ней возникли незатухающие колебания с частотой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"https://libr.aues.kz/facultet/eef/kaf_e_i_apu/30/umm/eiapu_2.files/image102.gif"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D4EC32C" wp14:editId="61A254A9">
            <wp:extent cx="217805" cy="217805"/>
            <wp:effectExtent l="0" t="0" r="0" b="0"/>
            <wp:docPr id="649" name="Рисунок 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амплитудой на входе нелинейного элемента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"https://libr.aues.kz/facultet/eef/kaf_e_i_apu/30/umm/eiapu_2.files/image103.gif"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B96C3E4" wp14:editId="51E5DC44">
            <wp:extent cx="253365" cy="267335"/>
            <wp:effectExtent l="0" t="0" r="0" b="0"/>
            <wp:docPr id="648" name="Рисунок 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Тогда уравнения системы в соответствии с выражениями (1.34), (1.35) и       рисунком 1.8 будут иметь вид: </w:t>
      </w:r>
    </w:p>
    <w:p w14:paraId="5BAAAC76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"https://libr.aues.kz/facultet/eef/kaf_e_i_apu/30/umm/eiapu_2.files/image104.gif"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A3FFFC1" wp14:editId="04439444">
            <wp:extent cx="1230630" cy="330835"/>
            <wp:effectExtent l="0" t="0" r="0" b="0"/>
            <wp:docPr id="647" name="Рисунок 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"https://libr.aues.kz/facultet/eef/kaf_e_i_apu/30/umm/eiapu_2.files/image105.gif"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F9B9FA3" wp14:editId="00480D21">
            <wp:extent cx="1357630" cy="330835"/>
            <wp:effectExtent l="0" t="0" r="0" b="0"/>
            <wp:docPr id="646" name="Рисунок 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"https://libr.aues.kz/facultet/eef/kaf_e_i_apu/30/umm/eiapu_2.files/image106.gif"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72C6774" wp14:editId="2D89BD63">
            <wp:extent cx="886460" cy="344805"/>
            <wp:effectExtent l="0" t="0" r="0" b="0"/>
            <wp:docPr id="645" name="Рисунок 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(1.38)                              </w:t>
      </w:r>
    </w:p>
    <w:p w14:paraId="3DA714D1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Исключая из этих уравнений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"https://libr.aues.kz/facultet/eef/kaf_e_i_apu/30/umm/eiapu_2.files/image107.gif"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8334493" wp14:editId="01DA8B6E">
            <wp:extent cx="217805" cy="302260"/>
            <wp:effectExtent l="0" t="0" r="0" b="0"/>
            <wp:docPr id="644" name="Рисунок 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"https://libr.aues.kz/facultet/eef/kaf_e_i_apu/30/umm/eiapu_2.files/image108.gif"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823AE23" wp14:editId="4BDC50E1">
            <wp:extent cx="253365" cy="344805"/>
            <wp:effectExtent l="0" t="0" r="0" b="0"/>
            <wp:docPr id="643" name="Рисунок 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получим </w:t>
      </w:r>
    </w:p>
    <w:p w14:paraId="4DD6699F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"https://libr.aues.kz/facultet/eef/kaf_e_i_apu/30/umm/eiapu_2.files/image109.gif"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E17A240" wp14:editId="4BB85B46">
            <wp:extent cx="2046605" cy="316230"/>
            <wp:effectExtent l="0" t="0" r="0" b="1270"/>
            <wp:docPr id="642" name="Рисунок 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                            (1.39)          </w:t>
      </w:r>
    </w:p>
    <w:p w14:paraId="359ECE7B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Так как в системе происходят незатухающие колебания, то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"https://libr.aues.kz/facultet/eef/kaf_e_i_apu/30/umm/eiapu_2.files/image110.gif"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A926717" wp14:editId="5D89D550">
            <wp:extent cx="689610" cy="344805"/>
            <wp:effectExtent l="0" t="0" r="0" b="0"/>
            <wp:docPr id="641" name="Рисунок 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и, следовательно </w:t>
      </w:r>
    </w:p>
    <w:p w14:paraId="286416BB" w14:textId="77777777" w:rsidR="00D67303" w:rsidRPr="004377D1" w:rsidRDefault="00D67303" w:rsidP="00D6730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 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"https://libr.aues.kz/facultet/eef/kaf_e_i_apu/30/umm/eiapu_2.files/image111.gif"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BC956ED" wp14:editId="4618750D">
            <wp:extent cx="1941195" cy="316230"/>
            <wp:effectExtent l="0" t="0" r="0" b="0"/>
            <wp:docPr id="640" name="Рисунок 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(1.40)</w:t>
      </w:r>
    </w:p>
    <w:p w14:paraId="22C8D9CE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Это – уравнение свободных колебаний системы. Левая часть уравнения является комплексной величиной. Приравнивая отдельно ее вещественную и мнимую части нулю, получим два уравнения с двумя неизвестными: частотой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"https://libr.aues.kz/facultet/eef/kaf_e_i_apu/30/umm/eiapu_2.files/image112.gif"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34F3AFB" wp14:editId="01967F10">
            <wp:extent cx="224790" cy="217805"/>
            <wp:effectExtent l="0" t="0" r="3810" b="0"/>
            <wp:docPr id="639" name="Рисунок 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амплитудой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"https://libr.aues.kz/facultet/eef/kaf_e_i_apu/30/umm/eiapu_2.files/image113.gif"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5952E0E" wp14:editId="47148D21">
            <wp:extent cx="239395" cy="281305"/>
            <wp:effectExtent l="0" t="0" r="0" b="0"/>
            <wp:docPr id="638" name="Рисунок 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Если в результате решения этих уравнении получаются вещественные числа, то в системе возможны колебания с найденными частотой и амплитудой. Если при решении получаются мнимые числа, то колебания в системе невозможны, система устойчива. Проще и нагляднее это решение произвести графически.</w:t>
      </w:r>
    </w:p>
    <w:p w14:paraId="0E586D76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Перепишем уравнение (1.40) следующим образом </w:t>
      </w:r>
    </w:p>
    <w:p w14:paraId="716BEF20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 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"https://libr.aues.kz/facultet/eef/kaf_e_i_apu/30/umm/eiapu_2.files/image114.gif"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A76F93E" wp14:editId="4144C0B3">
            <wp:extent cx="1547495" cy="661035"/>
            <wp:effectExtent l="0" t="0" r="0" b="0"/>
            <wp:docPr id="637" name="Рисунок 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(1.41)            </w:t>
      </w:r>
    </w:p>
    <w:p w14:paraId="54C1A5B8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Левая часть уравнения при изменении частоты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"https://libr.aues.kz/facultet/eef/kaf_e_i_apu/30/umm/eiapu_2.files/image115.gif"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5A17291" wp14:editId="1DB4C87E">
            <wp:extent cx="239395" cy="217805"/>
            <wp:effectExtent l="0" t="0" r="1905" b="0"/>
            <wp:docPr id="636" name="Рисунок 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от 0 до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"https://libr.aues.kz/facultet/eef/kaf_e_i_apu/30/umm/eiapu_2.files/image116.gif"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B7C5CDF" wp14:editId="2D039B59">
            <wp:extent cx="429260" cy="217805"/>
            <wp:effectExtent l="0" t="0" r="0" b="0"/>
            <wp:docPr id="635" name="Рисунок 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представляет амплитудно-фазовою частотную характеристику линейной части системы в разомкнутом состоянии.</w:t>
      </w:r>
    </w:p>
    <w:p w14:paraId="23FF70DE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Правая часть уравнения при изменении амплитуды от 0 или от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"https://libr.aues.kz/facultet/eef/kaf_e_i_apu/30/umm/eiapu_2.files/image117.gif"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E6B71FB" wp14:editId="7B00A36A">
            <wp:extent cx="647065" cy="288290"/>
            <wp:effectExtent l="0" t="0" r="0" b="0"/>
            <wp:docPr id="634" name="Рисунок 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до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"https://libr.aues.kz/facultet/eef/kaf_e_i_apu/30/umm/eiapu_2.files/image118.gif"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28A15D0" wp14:editId="6673B396">
            <wp:extent cx="506730" cy="253365"/>
            <wp:effectExtent l="0" t="0" r="0" b="0"/>
            <wp:docPr id="633" name="Рисунок 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представляет обратную амплитудную характеристику нелинейного элемента системы регулирования. Обе характеристики могут быть вычерчены в одной системе координат. Точка пересечения характеристик дает решение уравнения (1.41). При этом частота колебаний определяется частотой на амплитудно-фазовой характеристике в точке пересечения кривых, а амплитуда колебаний определяется значением амплитуды на амплитудной характеристике нелинейного элемента в той же точке (см. рисунок 1.9,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</w:p>
    <w:p w14:paraId="1999B324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87A3249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"https://libr.aues.kz/facultet/eef/kaf_e_i_apu/30/umm/eiapu_2.files/image119.jpg"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FBD7853" wp14:editId="22BE0B81">
            <wp:extent cx="5731510" cy="1638300"/>
            <wp:effectExtent l="0" t="0" r="0" b="0"/>
            <wp:docPr id="632" name="Рисунок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42E7FBED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8B89208" w14:textId="77777777" w:rsidR="00D67303" w:rsidRPr="004377D1" w:rsidRDefault="00D67303" w:rsidP="00D67303">
      <w:pPr>
        <w:spacing w:before="100" w:beforeAutospacing="1" w:after="100" w:afterAutospacing="1"/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1.9 - Графическое решение линейного и линеаризованного уравнений </w:t>
      </w:r>
    </w:p>
    <w:p w14:paraId="3BC71C11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амплитудно-фазовая характеристика линейного элемента и амплитудная характеристика нелинейного элемента не пересекаются           (см. рисунок 1.9,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то в системе автоколебания невозможны. Если указанные кривые касаются друг друга (см. рисунок 1.9,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то система (приближенно) находится на границе устойчивости.</w:t>
      </w:r>
    </w:p>
    <w:p w14:paraId="608C85E0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Имея амплитудную характеристику линейного элемента, можно так выбрать параметры линейной части системы, чтобы указанные кривые не пересекались и следовательно, система была устойчивой.</w:t>
      </w:r>
    </w:p>
    <w:p w14:paraId="09F8CA14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Устойчивость колебаний в системе можно оценить следующим способом, который не является достаточно строгим, но в большинстве случаев дает правильные результаты. Дадим небольшое приращение амплитуде колебаний в точке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(см. рисунок 1.9,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 При положительном приращении +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∆А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обратной амплитудной характеристике получим, например, точку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"https://libr.aues.kz/facultet/eef/kaf_e_i_apu/30/umm/eiapu_2.files/image120.gif"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FCC175F" wp14:editId="03A98A9B">
            <wp:extent cx="302260" cy="365760"/>
            <wp:effectExtent l="0" t="0" r="0" b="0"/>
            <wp:docPr id="631" name="Рисунок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а при отрицательном приращении -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∆А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точку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"https://libr.aues.kz/facultet/eef/kaf_e_i_apu/30/umm/eiapu_2.files/image121.gif"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A370FC9" wp14:editId="4D6563B1">
            <wp:extent cx="281305" cy="316230"/>
            <wp:effectExtent l="0" t="0" r="0" b="0"/>
            <wp:docPr id="630" name="Рисунок 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286D23BB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амплитудно-фазовая характеристика устойчивой разомкнутой линейной части не охватывает точку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"https://libr.aues.kz/facultet/eef/kaf_e_i_apu/30/umm/eiapu_2.files/image120.gif"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5AE56B1" wp14:editId="4C409287">
            <wp:extent cx="302260" cy="365760"/>
            <wp:effectExtent l="0" t="0" r="0" b="0"/>
            <wp:docPr id="629" name="Рисунок 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соответствующую положительному приращению амплитуды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∆А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 охватывает точку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"https://libr.aues.kz/facultet/eef/kaf_e_i_apu/30/umm/eiapu_2.files/image121.gif"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44210CB" wp14:editId="558B2E16">
            <wp:extent cx="281305" cy="316230"/>
            <wp:effectExtent l="0" t="0" r="0" b="0"/>
            <wp:docPr id="628" name="Рисунок 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соответствующую отрицательному приращению амплитуды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∆А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 автоколебания будут устойчивы.  В соответствии с этим определением автоколебания в точке 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 на рисунке 1.9,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– устойчивы, а в точке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С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неустойчивы.</w:t>
      </w:r>
    </w:p>
    <w:p w14:paraId="7E0074D4" w14:textId="77777777" w:rsidR="00D67303" w:rsidRPr="004377D1" w:rsidRDefault="00D67303" w:rsidP="00D6730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Метод гармонической линеаризации позволяет правильно выбрать параметры изменяемой части нелинейной системы. Метод гармонической 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линеаризации применим и при наличии в системе нескольких нелинейности при различном их сочетании с линейными звеньями.</w:t>
      </w:r>
    </w:p>
    <w:p w14:paraId="0892A0C4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03"/>
    <w:rsid w:val="00533A55"/>
    <w:rsid w:val="0082156A"/>
    <w:rsid w:val="00D6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720DDA"/>
  <w15:chartTrackingRefBased/>
  <w15:docId w15:val="{1DB0A70A-799E-B24E-A113-109B275D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gif"/><Relationship Id="rId21" Type="http://schemas.openxmlformats.org/officeDocument/2006/relationships/image" Target="media/image18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63" Type="http://schemas.openxmlformats.org/officeDocument/2006/relationships/image" Target="media/image60.gif"/><Relationship Id="rId68" Type="http://schemas.openxmlformats.org/officeDocument/2006/relationships/image" Target="media/image65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9" Type="http://schemas.openxmlformats.org/officeDocument/2006/relationships/image" Target="media/image26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jpeg"/><Relationship Id="rId45" Type="http://schemas.openxmlformats.org/officeDocument/2006/relationships/image" Target="media/image42.gif"/><Relationship Id="rId53" Type="http://schemas.openxmlformats.org/officeDocument/2006/relationships/image" Target="media/image50.gif"/><Relationship Id="rId58" Type="http://schemas.openxmlformats.org/officeDocument/2006/relationships/image" Target="media/image55.gif"/><Relationship Id="rId66" Type="http://schemas.openxmlformats.org/officeDocument/2006/relationships/image" Target="media/image63.gif"/><Relationship Id="rId74" Type="http://schemas.openxmlformats.org/officeDocument/2006/relationships/theme" Target="theme/theme1.xml"/><Relationship Id="rId5" Type="http://schemas.openxmlformats.org/officeDocument/2006/relationships/image" Target="media/image2.gif"/><Relationship Id="rId61" Type="http://schemas.openxmlformats.org/officeDocument/2006/relationships/image" Target="media/image58.gif"/><Relationship Id="rId19" Type="http://schemas.openxmlformats.org/officeDocument/2006/relationships/image" Target="media/image1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jpeg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56" Type="http://schemas.openxmlformats.org/officeDocument/2006/relationships/image" Target="media/image53.gif"/><Relationship Id="rId64" Type="http://schemas.openxmlformats.org/officeDocument/2006/relationships/image" Target="media/image61.gif"/><Relationship Id="rId69" Type="http://schemas.openxmlformats.org/officeDocument/2006/relationships/image" Target="media/image66.gif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72" Type="http://schemas.openxmlformats.org/officeDocument/2006/relationships/image" Target="media/image69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59" Type="http://schemas.openxmlformats.org/officeDocument/2006/relationships/image" Target="media/image56.gif"/><Relationship Id="rId67" Type="http://schemas.openxmlformats.org/officeDocument/2006/relationships/image" Target="media/image64.gif"/><Relationship Id="rId20" Type="http://schemas.openxmlformats.org/officeDocument/2006/relationships/image" Target="media/image17.gif"/><Relationship Id="rId41" Type="http://schemas.openxmlformats.org/officeDocument/2006/relationships/image" Target="media/image38.gif"/><Relationship Id="rId54" Type="http://schemas.openxmlformats.org/officeDocument/2006/relationships/image" Target="media/image51.gif"/><Relationship Id="rId62" Type="http://schemas.openxmlformats.org/officeDocument/2006/relationships/image" Target="media/image59.gif"/><Relationship Id="rId70" Type="http://schemas.openxmlformats.org/officeDocument/2006/relationships/image" Target="media/image67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Relationship Id="rId57" Type="http://schemas.openxmlformats.org/officeDocument/2006/relationships/image" Target="media/image54.gif"/><Relationship Id="rId10" Type="http://schemas.openxmlformats.org/officeDocument/2006/relationships/image" Target="media/image7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52" Type="http://schemas.openxmlformats.org/officeDocument/2006/relationships/image" Target="media/image49.gif"/><Relationship Id="rId60" Type="http://schemas.openxmlformats.org/officeDocument/2006/relationships/image" Target="media/image57.gif"/><Relationship Id="rId65" Type="http://schemas.openxmlformats.org/officeDocument/2006/relationships/image" Target="media/image62.gif"/><Relationship Id="rId73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9" Type="http://schemas.openxmlformats.org/officeDocument/2006/relationships/image" Target="media/image36.gif"/><Relationship Id="rId34" Type="http://schemas.openxmlformats.org/officeDocument/2006/relationships/image" Target="media/image31.gif"/><Relationship Id="rId50" Type="http://schemas.openxmlformats.org/officeDocument/2006/relationships/image" Target="media/image47.gif"/><Relationship Id="rId55" Type="http://schemas.openxmlformats.org/officeDocument/2006/relationships/image" Target="media/image52.gif"/><Relationship Id="rId7" Type="http://schemas.openxmlformats.org/officeDocument/2006/relationships/image" Target="media/image4.gif"/><Relationship Id="rId71" Type="http://schemas.openxmlformats.org/officeDocument/2006/relationships/image" Target="media/image6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3141</Words>
  <Characters>17905</Characters>
  <Application>Microsoft Office Word</Application>
  <DocSecurity>0</DocSecurity>
  <Lines>149</Lines>
  <Paragraphs>42</Paragraphs>
  <ScaleCrop>false</ScaleCrop>
  <Company/>
  <LinksUpToDate>false</LinksUpToDate>
  <CharactersWithSpaces>21004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2022-09-03T17:17:00Z</dcterms:created>
  <dcterms:modified xsi:type="dcterms:W3CDTF">2022-09-03T17:17:00Z</dcterms:modified>
</cp:coreProperties>
</file>